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5C0423" w14:textId="77777777" w:rsidR="00360DB0" w:rsidRDefault="009E67CF">
      <w:pPr>
        <w:pStyle w:val="BodyTextIndent2"/>
        <w:ind w:left="0" w:firstLine="0"/>
        <w:jc w:val="center"/>
      </w:pPr>
      <w:r>
        <w:rPr>
          <w:rFonts w:ascii="Tahoma" w:hAnsi="Tahoma" w:cs="Tahoma"/>
          <w:b/>
          <w:color w:val="000000"/>
          <w:szCs w:val="24"/>
        </w:rPr>
        <w:t>THE LORDSHIP LANE SURGERY</w:t>
      </w:r>
    </w:p>
    <w:p w14:paraId="281BE9A3" w14:textId="275F56BC" w:rsidR="009E67CF" w:rsidRDefault="00660B67" w:rsidP="009E67CF">
      <w:pPr>
        <w:rPr>
          <w:sz w:val="22"/>
          <w:szCs w:val="22"/>
        </w:rPr>
      </w:pPr>
      <w:r>
        <w:t>Last review Aug 2020</w:t>
      </w:r>
    </w:p>
    <w:p w14:paraId="51DED101" w14:textId="3B15694A" w:rsidR="009E67CF" w:rsidRDefault="00660B67" w:rsidP="009E67CF">
      <w:r>
        <w:t>Next review Aug 2021</w:t>
      </w:r>
    </w:p>
    <w:p w14:paraId="5C179864" w14:textId="77777777" w:rsidR="00360DB0" w:rsidRDefault="00360DB0">
      <w:pPr>
        <w:ind w:right="-694"/>
        <w:jc w:val="center"/>
      </w:pPr>
    </w:p>
    <w:tbl>
      <w:tblPr>
        <w:tblW w:w="0" w:type="auto"/>
        <w:jc w:val="center"/>
        <w:tblBorders>
          <w:top w:val="double" w:sz="2" w:space="0" w:color="000000"/>
          <w:left w:val="double" w:sz="2" w:space="0" w:color="000000"/>
          <w:bottom w:val="double" w:sz="2" w:space="0" w:color="000000"/>
          <w:right w:val="double" w:sz="2" w:space="0" w:color="000000"/>
        </w:tblBorders>
        <w:tblCellMar>
          <w:left w:w="10" w:type="dxa"/>
          <w:right w:w="10" w:type="dxa"/>
        </w:tblCellMar>
        <w:tblLook w:val="04A0" w:firstRow="1" w:lastRow="0" w:firstColumn="1" w:lastColumn="0" w:noHBand="0" w:noVBand="1"/>
      </w:tblPr>
      <w:tblGrid>
        <w:gridCol w:w="1968"/>
        <w:gridCol w:w="2008"/>
        <w:gridCol w:w="4546"/>
      </w:tblGrid>
      <w:tr w:rsidR="00360DB0" w14:paraId="6F47674D" w14:textId="77777777">
        <w:trPr>
          <w:trHeight w:val="9209"/>
          <w:jc w:val="center"/>
        </w:trPr>
        <w:tc>
          <w:tcPr>
            <w:tcW w:w="9875" w:type="dxa"/>
            <w:gridSpan w:val="3"/>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tcPr>
          <w:p w14:paraId="103E20D4" w14:textId="77777777" w:rsidR="00360DB0" w:rsidRDefault="00360DB0">
            <w:pPr>
              <w:snapToGrid w:val="0"/>
              <w:jc w:val="center"/>
            </w:pPr>
          </w:p>
          <w:p w14:paraId="3A7E1917" w14:textId="77777777" w:rsidR="00360DB0" w:rsidRDefault="00360DB0">
            <w:pPr>
              <w:jc w:val="center"/>
            </w:pPr>
          </w:p>
          <w:p w14:paraId="12956A6A" w14:textId="77777777" w:rsidR="00360DB0" w:rsidRDefault="00360DB0">
            <w:pPr>
              <w:jc w:val="center"/>
            </w:pPr>
          </w:p>
          <w:p w14:paraId="09201CEF" w14:textId="77777777" w:rsidR="00360DB0" w:rsidRDefault="00360DB0">
            <w:pPr>
              <w:jc w:val="center"/>
            </w:pPr>
          </w:p>
          <w:p w14:paraId="3002A7AF" w14:textId="77777777" w:rsidR="00360DB0" w:rsidRDefault="00360DB0">
            <w:pPr>
              <w:jc w:val="center"/>
            </w:pPr>
          </w:p>
          <w:p w14:paraId="70E7BA84" w14:textId="77777777" w:rsidR="00360DB0" w:rsidRDefault="00360DB0">
            <w:pPr>
              <w:jc w:val="center"/>
            </w:pPr>
          </w:p>
          <w:p w14:paraId="04EB40E9" w14:textId="77777777" w:rsidR="00360DB0" w:rsidRDefault="009E67CF">
            <w:pPr>
              <w:jc w:val="center"/>
            </w:pPr>
            <w:r>
              <w:rPr>
                <w:rFonts w:ascii="Arial" w:hAnsi="Arial" w:cs="Arial"/>
                <w:b/>
                <w:bCs/>
                <w:sz w:val="40"/>
              </w:rPr>
              <w:t xml:space="preserve">Information Governance Policy </w:t>
            </w:r>
          </w:p>
          <w:p w14:paraId="5025CDEF" w14:textId="77777777" w:rsidR="00360DB0" w:rsidRDefault="00360DB0">
            <w:pPr>
              <w:jc w:val="center"/>
            </w:pPr>
          </w:p>
          <w:p w14:paraId="555A38DE" w14:textId="77777777" w:rsidR="00360DB0" w:rsidRDefault="00360DB0">
            <w:pPr>
              <w:jc w:val="center"/>
            </w:pPr>
          </w:p>
          <w:p w14:paraId="01447DD6" w14:textId="77777777" w:rsidR="00360DB0" w:rsidRDefault="00360DB0">
            <w:pPr>
              <w:jc w:val="center"/>
            </w:pPr>
          </w:p>
          <w:p w14:paraId="3B9C1E69" w14:textId="77777777" w:rsidR="00360DB0" w:rsidRDefault="00360DB0">
            <w:pPr>
              <w:jc w:val="center"/>
            </w:pPr>
          </w:p>
        </w:tc>
      </w:tr>
      <w:tr w:rsidR="00360DB0" w14:paraId="0E0BB2C9" w14:textId="77777777">
        <w:trPr>
          <w:jc w:val="center"/>
        </w:trPr>
        <w:tc>
          <w:tcPr>
            <w:tcW w:w="4540" w:type="dxa"/>
            <w:gridSpan w:val="2"/>
            <w:tcBorders>
              <w:top w:val="double" w:sz="2" w:space="0" w:color="000000"/>
              <w:left w:val="double" w:sz="2" w:space="0" w:color="000000"/>
              <w:bottom w:val="double" w:sz="2" w:space="0" w:color="000000"/>
            </w:tcBorders>
            <w:shd w:val="clear" w:color="auto" w:fill="auto"/>
            <w:tcMar>
              <w:top w:w="0" w:type="dxa"/>
              <w:left w:w="108" w:type="dxa"/>
              <w:bottom w:w="0" w:type="dxa"/>
              <w:right w:w="108" w:type="dxa"/>
            </w:tcMar>
          </w:tcPr>
          <w:p w14:paraId="2152F361" w14:textId="77777777" w:rsidR="00360DB0" w:rsidRDefault="009E67CF">
            <w:pPr>
              <w:snapToGrid w:val="0"/>
            </w:pPr>
            <w:r>
              <w:rPr>
                <w:rFonts w:ascii="Arial" w:hAnsi="Arial" w:cs="Arial"/>
                <w:b/>
                <w:sz w:val="20"/>
                <w:szCs w:val="20"/>
              </w:rPr>
              <w:t>Document Classification:</w:t>
            </w:r>
          </w:p>
          <w:p w14:paraId="064F9434" w14:textId="77777777" w:rsidR="00360DB0" w:rsidRDefault="00360DB0"/>
        </w:tc>
        <w:tc>
          <w:tcPr>
            <w:tcW w:w="5335"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tcPr>
          <w:p w14:paraId="35F538B4" w14:textId="77777777" w:rsidR="00360DB0" w:rsidRDefault="009E67CF">
            <w:pPr>
              <w:snapToGrid w:val="0"/>
            </w:pPr>
            <w:r>
              <w:rPr>
                <w:rFonts w:ascii="Arial" w:hAnsi="Arial" w:cs="Arial"/>
                <w:b/>
                <w:sz w:val="20"/>
                <w:szCs w:val="20"/>
              </w:rPr>
              <w:t>Document No:</w:t>
            </w:r>
          </w:p>
          <w:p w14:paraId="1B8D1282" w14:textId="77777777" w:rsidR="00360DB0" w:rsidRDefault="00360DB0">
            <w:pPr>
              <w:pStyle w:val="Header"/>
            </w:pPr>
          </w:p>
        </w:tc>
      </w:tr>
      <w:tr w:rsidR="00360DB0" w14:paraId="3D3051F8" w14:textId="77777777">
        <w:trPr>
          <w:jc w:val="center"/>
        </w:trPr>
        <w:tc>
          <w:tcPr>
            <w:tcW w:w="4540" w:type="dxa"/>
            <w:gridSpan w:val="2"/>
            <w:tcBorders>
              <w:top w:val="double" w:sz="2" w:space="0" w:color="000000"/>
              <w:left w:val="double" w:sz="2" w:space="0" w:color="000000"/>
              <w:bottom w:val="double" w:sz="2" w:space="0" w:color="000000"/>
            </w:tcBorders>
            <w:shd w:val="clear" w:color="auto" w:fill="auto"/>
            <w:tcMar>
              <w:top w:w="0" w:type="dxa"/>
              <w:left w:w="108" w:type="dxa"/>
              <w:bottom w:w="0" w:type="dxa"/>
              <w:right w:w="108" w:type="dxa"/>
            </w:tcMar>
          </w:tcPr>
          <w:p w14:paraId="71D68D47" w14:textId="77777777" w:rsidR="00360DB0" w:rsidRDefault="009E67CF">
            <w:pPr>
              <w:snapToGrid w:val="0"/>
            </w:pPr>
            <w:r>
              <w:rPr>
                <w:rFonts w:ascii="Arial" w:hAnsi="Arial" w:cs="Arial"/>
                <w:b/>
                <w:sz w:val="20"/>
                <w:szCs w:val="20"/>
              </w:rPr>
              <w:t>Issue No:</w:t>
            </w:r>
          </w:p>
          <w:p w14:paraId="4EF6C8D7" w14:textId="77777777" w:rsidR="00360DB0" w:rsidRDefault="009E67CF">
            <w:pPr>
              <w:pStyle w:val="Header"/>
            </w:pPr>
            <w:r>
              <w:rPr>
                <w:rFonts w:ascii="Arial" w:hAnsi="Arial" w:cs="Arial"/>
              </w:rPr>
              <w:t>1.1</w:t>
            </w:r>
          </w:p>
        </w:tc>
        <w:tc>
          <w:tcPr>
            <w:tcW w:w="5335"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tcPr>
          <w:p w14:paraId="1419CF3F" w14:textId="7A0843BA" w:rsidR="00360DB0" w:rsidRDefault="00360DB0" w:rsidP="00660B67">
            <w:pPr>
              <w:snapToGrid w:val="0"/>
            </w:pPr>
          </w:p>
        </w:tc>
      </w:tr>
      <w:tr w:rsidR="00360DB0" w14:paraId="282A6D20" w14:textId="77777777">
        <w:trPr>
          <w:trHeight w:val="133"/>
          <w:jc w:val="center"/>
        </w:trPr>
        <w:tc>
          <w:tcPr>
            <w:tcW w:w="4540" w:type="dxa"/>
            <w:gridSpan w:val="2"/>
            <w:tcBorders>
              <w:top w:val="double" w:sz="2" w:space="0" w:color="000000"/>
              <w:left w:val="double" w:sz="2" w:space="0" w:color="000000"/>
              <w:bottom w:val="double" w:sz="2" w:space="0" w:color="000000"/>
            </w:tcBorders>
            <w:shd w:val="clear" w:color="auto" w:fill="auto"/>
            <w:tcMar>
              <w:top w:w="0" w:type="dxa"/>
              <w:left w:w="108" w:type="dxa"/>
              <w:bottom w:w="0" w:type="dxa"/>
              <w:right w:w="108" w:type="dxa"/>
            </w:tcMar>
          </w:tcPr>
          <w:p w14:paraId="01C565C6" w14:textId="77777777" w:rsidR="00360DB0" w:rsidRDefault="009E67CF">
            <w:pPr>
              <w:pStyle w:val="Textbody"/>
              <w:snapToGrid w:val="0"/>
            </w:pPr>
            <w:r>
              <w:rPr>
                <w:rFonts w:ascii="Arial" w:hAnsi="Arial" w:cs="Arial"/>
                <w:sz w:val="20"/>
                <w:szCs w:val="20"/>
              </w:rPr>
              <w:t xml:space="preserve">Pages: </w:t>
            </w:r>
          </w:p>
          <w:p w14:paraId="0CDE05C5" w14:textId="77777777" w:rsidR="00360DB0" w:rsidRDefault="00360DB0">
            <w:pPr>
              <w:pStyle w:val="Textbody"/>
            </w:pPr>
          </w:p>
        </w:tc>
        <w:tc>
          <w:tcPr>
            <w:tcW w:w="5335"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tcPr>
          <w:p w14:paraId="7CD5910C" w14:textId="643DAC84" w:rsidR="00360DB0" w:rsidRDefault="00360DB0" w:rsidP="00660B67">
            <w:pPr>
              <w:pStyle w:val="Header"/>
              <w:snapToGrid w:val="0"/>
            </w:pPr>
          </w:p>
        </w:tc>
      </w:tr>
      <w:tr w:rsidR="00360DB0" w14:paraId="0A7483A6" w14:textId="77777777">
        <w:trPr>
          <w:trHeight w:val="133"/>
          <w:jc w:val="center"/>
        </w:trPr>
        <w:tc>
          <w:tcPr>
            <w:tcW w:w="4540" w:type="dxa"/>
            <w:gridSpan w:val="2"/>
            <w:tcBorders>
              <w:top w:val="double" w:sz="2" w:space="0" w:color="000000"/>
              <w:left w:val="double" w:sz="2" w:space="0" w:color="000000"/>
              <w:bottom w:val="double" w:sz="2" w:space="0" w:color="000000"/>
            </w:tcBorders>
            <w:shd w:val="clear" w:color="auto" w:fill="auto"/>
            <w:tcMar>
              <w:top w:w="0" w:type="dxa"/>
              <w:left w:w="108" w:type="dxa"/>
              <w:bottom w:w="0" w:type="dxa"/>
              <w:right w:w="108" w:type="dxa"/>
            </w:tcMar>
          </w:tcPr>
          <w:p w14:paraId="7EA93086" w14:textId="77777777" w:rsidR="00360DB0" w:rsidRDefault="00360DB0">
            <w:pPr>
              <w:pStyle w:val="Textbody"/>
              <w:snapToGrid w:val="0"/>
            </w:pPr>
          </w:p>
        </w:tc>
        <w:tc>
          <w:tcPr>
            <w:tcW w:w="5335"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tcPr>
          <w:p w14:paraId="3BB784F5" w14:textId="77777777" w:rsidR="00360DB0" w:rsidRDefault="00360DB0">
            <w:pPr>
              <w:pStyle w:val="Header"/>
              <w:snapToGrid w:val="0"/>
            </w:pPr>
          </w:p>
        </w:tc>
      </w:tr>
      <w:tr w:rsidR="00360DB0" w14:paraId="67DA3523" w14:textId="77777777">
        <w:trPr>
          <w:trHeight w:val="133"/>
          <w:jc w:val="center"/>
        </w:trPr>
        <w:tc>
          <w:tcPr>
            <w:tcW w:w="2270" w:type="dxa"/>
            <w:tcBorders>
              <w:top w:val="double" w:sz="2" w:space="0" w:color="000000"/>
              <w:left w:val="double" w:sz="2" w:space="0" w:color="000000"/>
              <w:bottom w:val="double" w:sz="2" w:space="0" w:color="000000"/>
            </w:tcBorders>
            <w:shd w:val="clear" w:color="auto" w:fill="auto"/>
            <w:tcMar>
              <w:top w:w="0" w:type="dxa"/>
              <w:left w:w="108" w:type="dxa"/>
              <w:bottom w:w="0" w:type="dxa"/>
              <w:right w:w="108" w:type="dxa"/>
            </w:tcMar>
          </w:tcPr>
          <w:p w14:paraId="32EB2636" w14:textId="77777777" w:rsidR="00360DB0" w:rsidRDefault="009E67CF">
            <w:pPr>
              <w:pStyle w:val="Textbody"/>
              <w:snapToGrid w:val="0"/>
            </w:pPr>
            <w:r>
              <w:rPr>
                <w:rFonts w:ascii="Arial" w:hAnsi="Arial" w:cs="Arial"/>
                <w:b/>
                <w:sz w:val="20"/>
                <w:szCs w:val="20"/>
              </w:rPr>
              <w:t>Date</w:t>
            </w:r>
          </w:p>
        </w:tc>
        <w:tc>
          <w:tcPr>
            <w:tcW w:w="2270" w:type="dxa"/>
            <w:tcBorders>
              <w:top w:val="double" w:sz="2" w:space="0" w:color="000000"/>
              <w:left w:val="double" w:sz="2" w:space="0" w:color="000000"/>
              <w:bottom w:val="double" w:sz="2" w:space="0" w:color="000000"/>
            </w:tcBorders>
            <w:shd w:val="clear" w:color="auto" w:fill="auto"/>
            <w:tcMar>
              <w:top w:w="0" w:type="dxa"/>
              <w:left w:w="108" w:type="dxa"/>
              <w:bottom w:w="0" w:type="dxa"/>
              <w:right w:w="108" w:type="dxa"/>
            </w:tcMar>
          </w:tcPr>
          <w:p w14:paraId="0225B439" w14:textId="77777777" w:rsidR="00360DB0" w:rsidRDefault="009E67CF">
            <w:pPr>
              <w:pStyle w:val="Textbody"/>
              <w:snapToGrid w:val="0"/>
            </w:pPr>
            <w:r>
              <w:rPr>
                <w:rFonts w:ascii="Arial" w:hAnsi="Arial" w:cs="Arial"/>
                <w:b/>
                <w:sz w:val="20"/>
                <w:szCs w:val="20"/>
              </w:rPr>
              <w:t>Author</w:t>
            </w:r>
          </w:p>
        </w:tc>
        <w:tc>
          <w:tcPr>
            <w:tcW w:w="5335"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tcPr>
          <w:p w14:paraId="7B7F9092" w14:textId="77777777" w:rsidR="00360DB0" w:rsidRDefault="009E67CF">
            <w:pPr>
              <w:pStyle w:val="Header"/>
              <w:snapToGrid w:val="0"/>
            </w:pPr>
            <w:r>
              <w:rPr>
                <w:rFonts w:ascii="Arial" w:hAnsi="Arial" w:cs="Arial"/>
                <w:b/>
              </w:rPr>
              <w:t>Reason for Changes:-</w:t>
            </w:r>
          </w:p>
        </w:tc>
      </w:tr>
      <w:tr w:rsidR="00360DB0" w14:paraId="173661C1" w14:textId="77777777">
        <w:trPr>
          <w:trHeight w:val="133"/>
          <w:jc w:val="center"/>
        </w:trPr>
        <w:tc>
          <w:tcPr>
            <w:tcW w:w="2270" w:type="dxa"/>
            <w:tcBorders>
              <w:top w:val="double" w:sz="2" w:space="0" w:color="000000"/>
              <w:left w:val="double" w:sz="2" w:space="0" w:color="000000"/>
              <w:bottom w:val="double" w:sz="2" w:space="0" w:color="000000"/>
            </w:tcBorders>
            <w:shd w:val="clear" w:color="auto" w:fill="auto"/>
            <w:tcMar>
              <w:top w:w="0" w:type="dxa"/>
              <w:left w:w="108" w:type="dxa"/>
              <w:bottom w:w="0" w:type="dxa"/>
              <w:right w:w="108" w:type="dxa"/>
            </w:tcMar>
          </w:tcPr>
          <w:p w14:paraId="39357979" w14:textId="77777777" w:rsidR="00360DB0" w:rsidRDefault="00360DB0">
            <w:pPr>
              <w:pStyle w:val="Textbody"/>
              <w:snapToGrid w:val="0"/>
            </w:pPr>
          </w:p>
        </w:tc>
        <w:tc>
          <w:tcPr>
            <w:tcW w:w="2270" w:type="dxa"/>
            <w:tcBorders>
              <w:top w:val="double" w:sz="2" w:space="0" w:color="000000"/>
              <w:left w:val="double" w:sz="2" w:space="0" w:color="000000"/>
              <w:bottom w:val="double" w:sz="2" w:space="0" w:color="000000"/>
            </w:tcBorders>
            <w:shd w:val="clear" w:color="auto" w:fill="auto"/>
            <w:tcMar>
              <w:top w:w="0" w:type="dxa"/>
              <w:left w:w="108" w:type="dxa"/>
              <w:bottom w:w="0" w:type="dxa"/>
              <w:right w:w="108" w:type="dxa"/>
            </w:tcMar>
          </w:tcPr>
          <w:p w14:paraId="5381F72A" w14:textId="77777777" w:rsidR="00360DB0" w:rsidRDefault="00360DB0">
            <w:pPr>
              <w:pStyle w:val="Textbody"/>
              <w:snapToGrid w:val="0"/>
            </w:pPr>
          </w:p>
        </w:tc>
        <w:tc>
          <w:tcPr>
            <w:tcW w:w="5335"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tcPr>
          <w:p w14:paraId="3BF3E8CA" w14:textId="77777777" w:rsidR="00360DB0" w:rsidRDefault="00360DB0">
            <w:pPr>
              <w:pStyle w:val="Textbody"/>
              <w:snapToGrid w:val="0"/>
            </w:pPr>
          </w:p>
        </w:tc>
      </w:tr>
      <w:tr w:rsidR="00360DB0" w14:paraId="6F09194B" w14:textId="77777777">
        <w:trPr>
          <w:trHeight w:val="133"/>
          <w:jc w:val="center"/>
        </w:trPr>
        <w:tc>
          <w:tcPr>
            <w:tcW w:w="2270" w:type="dxa"/>
            <w:tcBorders>
              <w:top w:val="double" w:sz="2" w:space="0" w:color="000000"/>
              <w:left w:val="double" w:sz="2" w:space="0" w:color="000000"/>
              <w:bottom w:val="double" w:sz="2" w:space="0" w:color="000000"/>
            </w:tcBorders>
            <w:shd w:val="clear" w:color="auto" w:fill="auto"/>
            <w:tcMar>
              <w:top w:w="0" w:type="dxa"/>
              <w:left w:w="108" w:type="dxa"/>
              <w:bottom w:w="0" w:type="dxa"/>
              <w:right w:w="108" w:type="dxa"/>
            </w:tcMar>
          </w:tcPr>
          <w:p w14:paraId="1C50F0D2" w14:textId="77777777" w:rsidR="00360DB0" w:rsidRDefault="00360DB0">
            <w:pPr>
              <w:pStyle w:val="Textbody"/>
              <w:snapToGrid w:val="0"/>
            </w:pPr>
          </w:p>
        </w:tc>
        <w:tc>
          <w:tcPr>
            <w:tcW w:w="2270" w:type="dxa"/>
            <w:tcBorders>
              <w:top w:val="double" w:sz="2" w:space="0" w:color="000000"/>
              <w:left w:val="double" w:sz="2" w:space="0" w:color="000000"/>
              <w:bottom w:val="double" w:sz="2" w:space="0" w:color="000000"/>
            </w:tcBorders>
            <w:shd w:val="clear" w:color="auto" w:fill="auto"/>
            <w:tcMar>
              <w:top w:w="0" w:type="dxa"/>
              <w:left w:w="108" w:type="dxa"/>
              <w:bottom w:w="0" w:type="dxa"/>
              <w:right w:w="108" w:type="dxa"/>
            </w:tcMar>
          </w:tcPr>
          <w:p w14:paraId="68337B9B" w14:textId="77777777" w:rsidR="00360DB0" w:rsidRDefault="00360DB0">
            <w:pPr>
              <w:pStyle w:val="Textbody"/>
              <w:snapToGrid w:val="0"/>
            </w:pPr>
          </w:p>
        </w:tc>
        <w:tc>
          <w:tcPr>
            <w:tcW w:w="5335"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tcPr>
          <w:p w14:paraId="1A19E8EA" w14:textId="77777777" w:rsidR="00360DB0" w:rsidRDefault="00360DB0">
            <w:pPr>
              <w:pStyle w:val="Textbody"/>
              <w:snapToGrid w:val="0"/>
            </w:pPr>
          </w:p>
        </w:tc>
      </w:tr>
    </w:tbl>
    <w:p w14:paraId="4B1C4C9B" w14:textId="77777777" w:rsidR="00360DB0" w:rsidRDefault="00360DB0"/>
    <w:p w14:paraId="17B3A19D" w14:textId="77777777" w:rsidR="00360DB0" w:rsidRDefault="00360DB0">
      <w:pPr>
        <w:ind w:right="-694"/>
        <w:jc w:val="center"/>
      </w:pPr>
    </w:p>
    <w:p w14:paraId="614BCC90" w14:textId="77777777" w:rsidR="00360DB0" w:rsidRDefault="00360DB0">
      <w:pPr>
        <w:ind w:right="-694"/>
        <w:jc w:val="center"/>
      </w:pPr>
    </w:p>
    <w:p w14:paraId="33F3A9EC" w14:textId="77777777" w:rsidR="00360DB0" w:rsidRDefault="009E67CF">
      <w:pPr>
        <w:pStyle w:val="BodyTextIndent2"/>
        <w:ind w:left="0" w:firstLine="0"/>
        <w:jc w:val="center"/>
      </w:pPr>
      <w:r>
        <w:rPr>
          <w:rFonts w:ascii="Tahoma" w:hAnsi="Tahoma" w:cs="Tahoma"/>
          <w:b/>
          <w:color w:val="000000"/>
          <w:szCs w:val="24"/>
        </w:rPr>
        <w:t>THE LORDSHIP LANE SURGERY</w:t>
      </w:r>
    </w:p>
    <w:p w14:paraId="25CA9502" w14:textId="77777777" w:rsidR="00360DB0" w:rsidRDefault="00360DB0">
      <w:pPr>
        <w:ind w:right="-694"/>
        <w:jc w:val="center"/>
      </w:pPr>
    </w:p>
    <w:p w14:paraId="67C33222" w14:textId="77777777" w:rsidR="00360DB0" w:rsidRDefault="00360DB0">
      <w:pPr>
        <w:ind w:right="-694"/>
        <w:jc w:val="center"/>
      </w:pPr>
    </w:p>
    <w:p w14:paraId="46673C56" w14:textId="77777777" w:rsidR="00360DB0" w:rsidRDefault="009E67CF">
      <w:pPr>
        <w:ind w:right="-694"/>
        <w:jc w:val="center"/>
      </w:pPr>
      <w:r>
        <w:rPr>
          <w:rFonts w:ascii="Arial" w:hAnsi="Arial" w:cs="Arial"/>
          <w:b/>
        </w:rPr>
        <w:t>INFORMATION GOVERNANCE POLICY</w:t>
      </w:r>
    </w:p>
    <w:p w14:paraId="01827DFF" w14:textId="77777777" w:rsidR="00360DB0" w:rsidRDefault="009E67CF">
      <w:pPr>
        <w:numPr>
          <w:ilvl w:val="0"/>
          <w:numId w:val="4"/>
        </w:numPr>
        <w:ind w:left="0" w:right="-694" w:firstLine="0"/>
        <w:jc w:val="both"/>
      </w:pPr>
      <w:r>
        <w:rPr>
          <w:rFonts w:ascii="Arial" w:hAnsi="Arial" w:cs="Arial"/>
          <w:b/>
        </w:rPr>
        <w:t>Summary</w:t>
      </w:r>
    </w:p>
    <w:p w14:paraId="06284F72" w14:textId="77777777" w:rsidR="00360DB0" w:rsidRDefault="00360DB0">
      <w:pPr>
        <w:ind w:right="-694"/>
        <w:jc w:val="both"/>
      </w:pPr>
    </w:p>
    <w:p w14:paraId="537C778B" w14:textId="77777777" w:rsidR="00360DB0" w:rsidRDefault="009E67CF">
      <w:pPr>
        <w:ind w:right="-694"/>
        <w:jc w:val="both"/>
      </w:pPr>
      <w:r>
        <w:rPr>
          <w:rFonts w:ascii="Arial" w:hAnsi="Arial" w:cs="Arial"/>
        </w:rPr>
        <w:t>Information is a vital asset, both in terms of the clinical management of individual patients and the efficient management of services and resources. It plays a key part in clinical governance, service planning and performance management.</w:t>
      </w:r>
    </w:p>
    <w:p w14:paraId="6902FE7F" w14:textId="77777777" w:rsidR="00360DB0" w:rsidRDefault="00360DB0">
      <w:pPr>
        <w:ind w:right="-694"/>
        <w:jc w:val="both"/>
      </w:pPr>
    </w:p>
    <w:p w14:paraId="32EA3769" w14:textId="77777777" w:rsidR="00360DB0" w:rsidRDefault="009E67CF">
      <w:pPr>
        <w:ind w:right="-694"/>
        <w:jc w:val="both"/>
      </w:pPr>
      <w:r>
        <w:rPr>
          <w:rFonts w:ascii="Arial" w:hAnsi="Arial" w:cs="Arial"/>
        </w:rPr>
        <w:t>It is therefore of paramount importance to ensure that information is efficiently managed, and that appropriate policies, procedures and management accountability and structures provide a robust governance framework for information management.</w:t>
      </w:r>
    </w:p>
    <w:p w14:paraId="5E5C98D9" w14:textId="77777777" w:rsidR="00360DB0" w:rsidRDefault="00360DB0">
      <w:pPr>
        <w:ind w:right="-694"/>
        <w:jc w:val="both"/>
      </w:pPr>
    </w:p>
    <w:p w14:paraId="2160B7A4" w14:textId="77777777" w:rsidR="00360DB0" w:rsidRDefault="009E67CF">
      <w:pPr>
        <w:numPr>
          <w:ilvl w:val="0"/>
          <w:numId w:val="4"/>
        </w:numPr>
        <w:ind w:left="0" w:right="-694" w:firstLine="0"/>
        <w:jc w:val="both"/>
      </w:pPr>
      <w:r>
        <w:rPr>
          <w:rFonts w:ascii="Arial" w:hAnsi="Arial" w:cs="Arial"/>
          <w:b/>
        </w:rPr>
        <w:t>Principles</w:t>
      </w:r>
    </w:p>
    <w:p w14:paraId="1671DD41" w14:textId="77777777" w:rsidR="00360DB0" w:rsidRDefault="00360DB0">
      <w:pPr>
        <w:ind w:right="-694"/>
        <w:jc w:val="both"/>
      </w:pPr>
    </w:p>
    <w:p w14:paraId="2941D5D0" w14:textId="77777777" w:rsidR="00360DB0" w:rsidRDefault="009E67CF">
      <w:pPr>
        <w:ind w:right="-694"/>
        <w:jc w:val="both"/>
      </w:pPr>
      <w:r>
        <w:rPr>
          <w:rFonts w:ascii="Arial" w:hAnsi="Arial" w:cs="Arial"/>
        </w:rPr>
        <w:t>The Practice recognises the need for an appropriate balance between openness and confidentiality in the management and use of information. The Practice fully supports the principles of corporate governance and recognises its public accountability, but equally places importance on the confidentiality of, and the security arrangements to safeguard, both personal information about patients and staff and commercially sensitive information. The Practice also recognises the need to share patient information with other health organisations and other agencies in a controlled manner consistent with the interests of the patient and, in some circumstances, the public interest.</w:t>
      </w:r>
    </w:p>
    <w:p w14:paraId="5DB4662D" w14:textId="77777777" w:rsidR="00360DB0" w:rsidRDefault="00360DB0">
      <w:pPr>
        <w:ind w:right="-694"/>
        <w:jc w:val="both"/>
      </w:pPr>
    </w:p>
    <w:p w14:paraId="6CC0AF7A" w14:textId="77777777" w:rsidR="00360DB0" w:rsidRDefault="009E67CF">
      <w:pPr>
        <w:ind w:right="-694"/>
        <w:jc w:val="both"/>
      </w:pPr>
      <w:r>
        <w:rPr>
          <w:rFonts w:ascii="Arial" w:hAnsi="Arial" w:cs="Arial"/>
        </w:rPr>
        <w:t xml:space="preserve">The Practice believes that accurate, timely and relevant information is essential to deliver the highest quality health care. As such it is the responsibility of all clinicians </w:t>
      </w:r>
      <w:r>
        <w:rPr>
          <w:rFonts w:ascii="Arial" w:hAnsi="Arial" w:cs="Arial"/>
        </w:rPr>
        <w:lastRenderedPageBreak/>
        <w:t>and managers to ensure and promote the quality of information and to actively use information in decision making processes.</w:t>
      </w:r>
    </w:p>
    <w:p w14:paraId="3718C113" w14:textId="77777777" w:rsidR="00360DB0" w:rsidRDefault="00360DB0">
      <w:pPr>
        <w:ind w:right="-694"/>
        <w:jc w:val="both"/>
      </w:pPr>
    </w:p>
    <w:p w14:paraId="4BB3C327" w14:textId="77777777" w:rsidR="00360DB0" w:rsidRDefault="00360DB0">
      <w:pPr>
        <w:ind w:right="-694"/>
        <w:jc w:val="both"/>
      </w:pPr>
    </w:p>
    <w:p w14:paraId="4A52936C" w14:textId="77777777" w:rsidR="00360DB0" w:rsidRDefault="009E67CF">
      <w:pPr>
        <w:ind w:right="-694"/>
        <w:jc w:val="both"/>
      </w:pPr>
      <w:r>
        <w:rPr>
          <w:rFonts w:ascii="Arial" w:hAnsi="Arial" w:cs="Arial"/>
        </w:rPr>
        <w:t>There are 4 key interlinked strands to the information governance policy:</w:t>
      </w:r>
    </w:p>
    <w:p w14:paraId="5CEE716C" w14:textId="77777777" w:rsidR="00360DB0" w:rsidRDefault="00360DB0">
      <w:pPr>
        <w:ind w:left="360" w:right="-694"/>
        <w:jc w:val="both"/>
      </w:pPr>
    </w:p>
    <w:p w14:paraId="4282183F" w14:textId="77777777" w:rsidR="00360DB0" w:rsidRDefault="009E67CF">
      <w:pPr>
        <w:numPr>
          <w:ilvl w:val="0"/>
          <w:numId w:val="5"/>
        </w:numPr>
        <w:ind w:left="0" w:right="-694" w:firstLine="0"/>
        <w:jc w:val="both"/>
      </w:pPr>
      <w:r>
        <w:rPr>
          <w:rFonts w:ascii="Arial" w:hAnsi="Arial" w:cs="Arial"/>
        </w:rPr>
        <w:t>Openness</w:t>
      </w:r>
    </w:p>
    <w:p w14:paraId="13E904D4" w14:textId="77777777" w:rsidR="00360DB0" w:rsidRDefault="009E67CF">
      <w:pPr>
        <w:numPr>
          <w:ilvl w:val="0"/>
          <w:numId w:val="5"/>
        </w:numPr>
        <w:ind w:left="0" w:right="-694" w:firstLine="0"/>
        <w:jc w:val="both"/>
      </w:pPr>
      <w:r>
        <w:rPr>
          <w:rFonts w:ascii="Arial" w:hAnsi="Arial" w:cs="Arial"/>
        </w:rPr>
        <w:t xml:space="preserve">Legal compliance </w:t>
      </w:r>
    </w:p>
    <w:p w14:paraId="6D6AE79E" w14:textId="77777777" w:rsidR="00360DB0" w:rsidRDefault="009E67CF">
      <w:pPr>
        <w:numPr>
          <w:ilvl w:val="0"/>
          <w:numId w:val="5"/>
        </w:numPr>
        <w:ind w:left="0" w:right="-694" w:firstLine="0"/>
        <w:jc w:val="both"/>
      </w:pPr>
      <w:r>
        <w:rPr>
          <w:rFonts w:ascii="Arial" w:hAnsi="Arial" w:cs="Arial"/>
        </w:rPr>
        <w:t xml:space="preserve">Information security </w:t>
      </w:r>
    </w:p>
    <w:p w14:paraId="394497DA" w14:textId="77777777" w:rsidR="00360DB0" w:rsidRDefault="009E67CF">
      <w:pPr>
        <w:numPr>
          <w:ilvl w:val="0"/>
          <w:numId w:val="5"/>
        </w:numPr>
        <w:ind w:left="0" w:right="-694" w:firstLine="0"/>
        <w:jc w:val="both"/>
      </w:pPr>
      <w:r>
        <w:rPr>
          <w:rFonts w:ascii="Arial" w:hAnsi="Arial" w:cs="Arial"/>
        </w:rPr>
        <w:t>Quality assurance</w:t>
      </w:r>
    </w:p>
    <w:p w14:paraId="17825EFD" w14:textId="77777777" w:rsidR="00360DB0" w:rsidRDefault="00360DB0">
      <w:pPr>
        <w:ind w:right="-694"/>
        <w:jc w:val="both"/>
      </w:pPr>
    </w:p>
    <w:p w14:paraId="7F82CCC0" w14:textId="77777777" w:rsidR="00360DB0" w:rsidRDefault="009E67CF">
      <w:pPr>
        <w:numPr>
          <w:ilvl w:val="1"/>
          <w:numId w:val="4"/>
        </w:numPr>
        <w:spacing w:after="120"/>
        <w:ind w:left="0" w:right="-694" w:firstLine="0"/>
        <w:jc w:val="both"/>
      </w:pPr>
      <w:r>
        <w:rPr>
          <w:rFonts w:ascii="Arial" w:hAnsi="Arial" w:cs="Arial"/>
          <w:b/>
        </w:rPr>
        <w:t>Openness</w:t>
      </w:r>
    </w:p>
    <w:p w14:paraId="57F5CE78" w14:textId="77777777" w:rsidR="00360DB0" w:rsidRDefault="009E67CF">
      <w:pPr>
        <w:numPr>
          <w:ilvl w:val="0"/>
          <w:numId w:val="2"/>
        </w:numPr>
        <w:spacing w:after="120"/>
        <w:ind w:left="0" w:right="-694" w:firstLine="0"/>
        <w:jc w:val="both"/>
      </w:pPr>
      <w:r>
        <w:rPr>
          <w:rFonts w:ascii="Arial" w:hAnsi="Arial" w:cs="Arial"/>
        </w:rPr>
        <w:t>Non-confidential information on the Practice and its services should be available to the public through a variety of media, in line with the Practice’s code of openness</w:t>
      </w:r>
    </w:p>
    <w:p w14:paraId="0BFEC104" w14:textId="77777777" w:rsidR="00360DB0" w:rsidRDefault="009E67CF">
      <w:pPr>
        <w:numPr>
          <w:ilvl w:val="0"/>
          <w:numId w:val="2"/>
        </w:numPr>
        <w:spacing w:after="120"/>
        <w:ind w:left="0" w:right="-694" w:firstLine="0"/>
        <w:jc w:val="both"/>
      </w:pPr>
      <w:r>
        <w:rPr>
          <w:rFonts w:ascii="Arial" w:hAnsi="Arial" w:cs="Arial"/>
        </w:rPr>
        <w:t>The Practice will establish and maintain policies to ensure compliance with the Freedom of Information Act</w:t>
      </w:r>
    </w:p>
    <w:p w14:paraId="473F6DC0" w14:textId="77777777" w:rsidR="00360DB0" w:rsidRDefault="009E67CF">
      <w:pPr>
        <w:numPr>
          <w:ilvl w:val="0"/>
          <w:numId w:val="2"/>
        </w:numPr>
        <w:spacing w:after="120"/>
        <w:ind w:left="0" w:right="-694" w:firstLine="0"/>
        <w:jc w:val="both"/>
      </w:pPr>
      <w:r>
        <w:rPr>
          <w:rFonts w:ascii="Arial" w:hAnsi="Arial" w:cs="Arial"/>
        </w:rPr>
        <w:t>The Practice will undertake or commission annual assessments and audits of its policies and arrangements for openness</w:t>
      </w:r>
    </w:p>
    <w:p w14:paraId="67623A89" w14:textId="77777777" w:rsidR="00360DB0" w:rsidRDefault="009E67CF">
      <w:pPr>
        <w:numPr>
          <w:ilvl w:val="0"/>
          <w:numId w:val="2"/>
        </w:numPr>
        <w:spacing w:after="120"/>
        <w:ind w:left="0" w:right="-694" w:firstLine="0"/>
        <w:jc w:val="both"/>
      </w:pPr>
      <w:r>
        <w:rPr>
          <w:rFonts w:ascii="Arial" w:hAnsi="Arial" w:cs="Arial"/>
        </w:rPr>
        <w:t>Patients should have ready access to information relating to their own health care, their options for treatment and their rights as patients</w:t>
      </w:r>
    </w:p>
    <w:p w14:paraId="3E6C872A" w14:textId="77777777" w:rsidR="00360DB0" w:rsidRDefault="009E67CF">
      <w:pPr>
        <w:numPr>
          <w:ilvl w:val="0"/>
          <w:numId w:val="2"/>
        </w:numPr>
        <w:spacing w:after="120"/>
        <w:ind w:left="0" w:right="-694" w:firstLine="0"/>
        <w:jc w:val="both"/>
      </w:pPr>
      <w:r>
        <w:rPr>
          <w:rFonts w:ascii="Arial" w:hAnsi="Arial" w:cs="Arial"/>
        </w:rPr>
        <w:t>The Practice will have clear procedures and arrangements for liaison with the press and broadcasting media</w:t>
      </w:r>
    </w:p>
    <w:p w14:paraId="648A3796" w14:textId="77777777" w:rsidR="00360DB0" w:rsidRDefault="009E67CF">
      <w:pPr>
        <w:numPr>
          <w:ilvl w:val="0"/>
          <w:numId w:val="2"/>
        </w:numPr>
        <w:spacing w:after="120"/>
        <w:ind w:left="0" w:right="-694" w:firstLine="0"/>
        <w:jc w:val="both"/>
      </w:pPr>
      <w:r>
        <w:rPr>
          <w:rFonts w:ascii="Arial" w:hAnsi="Arial" w:cs="Arial"/>
        </w:rPr>
        <w:t>The Practice will have clear procedures and arrangements for handling queries from patients and the public</w:t>
      </w:r>
    </w:p>
    <w:p w14:paraId="258373D3" w14:textId="77777777" w:rsidR="00360DB0" w:rsidRDefault="00360DB0">
      <w:pPr>
        <w:spacing w:after="120"/>
        <w:ind w:left="360" w:right="-694"/>
        <w:jc w:val="both"/>
      </w:pPr>
    </w:p>
    <w:p w14:paraId="3EFF2292" w14:textId="77777777" w:rsidR="00360DB0" w:rsidRDefault="009E67CF">
      <w:pPr>
        <w:numPr>
          <w:ilvl w:val="1"/>
          <w:numId w:val="4"/>
        </w:numPr>
        <w:spacing w:after="120"/>
        <w:ind w:left="0" w:right="-694" w:firstLine="0"/>
        <w:jc w:val="both"/>
      </w:pPr>
      <w:r>
        <w:rPr>
          <w:rFonts w:ascii="Arial" w:hAnsi="Arial" w:cs="Arial"/>
          <w:b/>
        </w:rPr>
        <w:t>Legal Compliance</w:t>
      </w:r>
    </w:p>
    <w:p w14:paraId="5CDE085D" w14:textId="77777777" w:rsidR="00360DB0" w:rsidRDefault="009E67CF">
      <w:pPr>
        <w:numPr>
          <w:ilvl w:val="0"/>
          <w:numId w:val="3"/>
        </w:numPr>
        <w:spacing w:after="120"/>
        <w:ind w:left="720" w:right="-694" w:firstLine="0"/>
        <w:jc w:val="both"/>
      </w:pPr>
      <w:r>
        <w:rPr>
          <w:rFonts w:ascii="Arial" w:hAnsi="Arial" w:cs="Arial"/>
        </w:rPr>
        <w:t>The Practice regards all identifiable personal information relating to patients as confidential</w:t>
      </w:r>
    </w:p>
    <w:p w14:paraId="4CF3C302" w14:textId="77777777" w:rsidR="00360DB0" w:rsidRDefault="009E67CF">
      <w:pPr>
        <w:numPr>
          <w:ilvl w:val="0"/>
          <w:numId w:val="3"/>
        </w:numPr>
        <w:spacing w:after="120"/>
        <w:ind w:left="720" w:right="-694" w:firstLine="0"/>
        <w:jc w:val="both"/>
      </w:pPr>
      <w:r>
        <w:rPr>
          <w:rFonts w:ascii="Arial" w:hAnsi="Arial" w:cs="Arial"/>
        </w:rPr>
        <w:t>The Practice will undertake or commission annual assessments and audits of its compliance with legal requirements</w:t>
      </w:r>
    </w:p>
    <w:p w14:paraId="3E8CFACB" w14:textId="77777777" w:rsidR="00360DB0" w:rsidRDefault="009E67CF">
      <w:pPr>
        <w:numPr>
          <w:ilvl w:val="0"/>
          <w:numId w:val="3"/>
        </w:numPr>
        <w:spacing w:after="120"/>
        <w:ind w:left="720" w:right="-694" w:firstLine="0"/>
        <w:jc w:val="both"/>
      </w:pPr>
      <w:r>
        <w:rPr>
          <w:rFonts w:ascii="Arial" w:hAnsi="Arial" w:cs="Arial"/>
        </w:rPr>
        <w:t>The Practice regards all identifiable personal information relating to staff as confidential except where national policy on accountability and openness requires otherwise</w:t>
      </w:r>
    </w:p>
    <w:p w14:paraId="417E1A22" w14:textId="77777777" w:rsidR="00360DB0" w:rsidRDefault="009E67CF">
      <w:pPr>
        <w:numPr>
          <w:ilvl w:val="0"/>
          <w:numId w:val="3"/>
        </w:numPr>
        <w:spacing w:after="120"/>
        <w:ind w:left="720" w:right="-694" w:firstLine="0"/>
        <w:jc w:val="both"/>
      </w:pPr>
      <w:r>
        <w:rPr>
          <w:rFonts w:ascii="Arial" w:hAnsi="Arial" w:cs="Arial"/>
        </w:rPr>
        <w:lastRenderedPageBreak/>
        <w:t>The Practice will establish and maintain policies to ensure compliance with the Data Protection Act, Human Rights Act and the common law confidentiality</w:t>
      </w:r>
    </w:p>
    <w:p w14:paraId="1DBD62C5" w14:textId="77777777" w:rsidR="00360DB0" w:rsidRDefault="009E67CF">
      <w:pPr>
        <w:numPr>
          <w:ilvl w:val="0"/>
          <w:numId w:val="3"/>
        </w:numPr>
        <w:spacing w:after="120"/>
        <w:ind w:left="720" w:right="-694" w:firstLine="0"/>
        <w:jc w:val="both"/>
      </w:pPr>
      <w:r>
        <w:rPr>
          <w:rFonts w:ascii="Arial" w:hAnsi="Arial" w:cs="Arial"/>
        </w:rPr>
        <w:t>The Practice will establish and maintain policies for the controlled and appropriate sharing of patient information with other agencies, taking account of relevant legislation (e.g. Health and Social Care Act, Crime and Disorder Act, Protection of Children Act)</w:t>
      </w:r>
    </w:p>
    <w:p w14:paraId="0582DFEF" w14:textId="77777777" w:rsidR="00360DB0" w:rsidRDefault="00360DB0">
      <w:pPr>
        <w:spacing w:after="120"/>
        <w:ind w:right="-694"/>
        <w:jc w:val="both"/>
      </w:pPr>
    </w:p>
    <w:p w14:paraId="08D5886D" w14:textId="77777777" w:rsidR="00360DB0" w:rsidRDefault="009E67CF">
      <w:pPr>
        <w:numPr>
          <w:ilvl w:val="1"/>
          <w:numId w:val="4"/>
        </w:numPr>
        <w:spacing w:after="120"/>
        <w:ind w:left="0" w:right="-694" w:firstLine="0"/>
        <w:jc w:val="both"/>
      </w:pPr>
      <w:r>
        <w:rPr>
          <w:rFonts w:ascii="Arial" w:hAnsi="Arial" w:cs="Arial"/>
          <w:b/>
        </w:rPr>
        <w:t>Information Security</w:t>
      </w:r>
    </w:p>
    <w:p w14:paraId="02DF84B5" w14:textId="77777777" w:rsidR="00360DB0" w:rsidRDefault="009E67CF">
      <w:pPr>
        <w:numPr>
          <w:ilvl w:val="0"/>
          <w:numId w:val="3"/>
        </w:numPr>
        <w:spacing w:after="120"/>
        <w:ind w:left="720" w:right="-694" w:firstLine="0"/>
        <w:jc w:val="both"/>
      </w:pPr>
      <w:r>
        <w:rPr>
          <w:rFonts w:ascii="Arial" w:hAnsi="Arial" w:cs="Arial"/>
        </w:rPr>
        <w:t>The Practice will establish and maintain policies for the effective and secure management of its information assets and resources</w:t>
      </w:r>
    </w:p>
    <w:p w14:paraId="53F2D5B1" w14:textId="77777777" w:rsidR="00360DB0" w:rsidRDefault="009E67CF">
      <w:pPr>
        <w:numPr>
          <w:ilvl w:val="0"/>
          <w:numId w:val="3"/>
        </w:numPr>
        <w:spacing w:after="120"/>
        <w:ind w:left="720" w:right="-694" w:firstLine="0"/>
        <w:jc w:val="both"/>
      </w:pPr>
      <w:r>
        <w:rPr>
          <w:rFonts w:ascii="Arial" w:hAnsi="Arial" w:cs="Arial"/>
        </w:rPr>
        <w:t>The Practice will undertake or commission annual assessments and audits of its information and IT security arrangements</w:t>
      </w:r>
    </w:p>
    <w:p w14:paraId="25FCBB26" w14:textId="77777777" w:rsidR="00360DB0" w:rsidRDefault="009E67CF">
      <w:pPr>
        <w:numPr>
          <w:ilvl w:val="0"/>
          <w:numId w:val="3"/>
        </w:numPr>
        <w:spacing w:after="120"/>
        <w:ind w:left="720" w:right="-694" w:firstLine="0"/>
        <w:jc w:val="both"/>
      </w:pPr>
      <w:r>
        <w:rPr>
          <w:rFonts w:ascii="Arial" w:hAnsi="Arial" w:cs="Arial"/>
        </w:rPr>
        <w:t>The Practice will promote effective confidentiality and security practice to its staff through policies, procedures and training</w:t>
      </w:r>
    </w:p>
    <w:p w14:paraId="6BA47519" w14:textId="77777777" w:rsidR="00360DB0" w:rsidRDefault="009E67CF">
      <w:pPr>
        <w:numPr>
          <w:ilvl w:val="0"/>
          <w:numId w:val="3"/>
        </w:numPr>
        <w:spacing w:after="120"/>
        <w:ind w:left="720" w:right="-694" w:firstLine="0"/>
        <w:jc w:val="both"/>
      </w:pPr>
      <w:r>
        <w:rPr>
          <w:rFonts w:ascii="Arial" w:hAnsi="Arial" w:cs="Arial"/>
        </w:rPr>
        <w:t>The Practice will establish and maintain incident reporting procedures and will monitor and investigate all reported instances of actual or potential breaches of confidentiality and security</w:t>
      </w:r>
    </w:p>
    <w:p w14:paraId="1F2D2730" w14:textId="77777777" w:rsidR="00360DB0" w:rsidRDefault="00360DB0">
      <w:pPr>
        <w:spacing w:after="120"/>
        <w:ind w:right="-694"/>
        <w:jc w:val="both"/>
      </w:pPr>
    </w:p>
    <w:p w14:paraId="22450D85" w14:textId="77777777" w:rsidR="00360DB0" w:rsidRDefault="00360DB0">
      <w:pPr>
        <w:spacing w:after="120"/>
        <w:ind w:right="-694"/>
        <w:jc w:val="both"/>
      </w:pPr>
    </w:p>
    <w:p w14:paraId="4E2459D1" w14:textId="77777777" w:rsidR="00360DB0" w:rsidRDefault="009E67CF">
      <w:pPr>
        <w:numPr>
          <w:ilvl w:val="1"/>
          <w:numId w:val="4"/>
        </w:numPr>
        <w:spacing w:after="120"/>
        <w:ind w:left="0" w:right="-694" w:firstLine="0"/>
        <w:jc w:val="both"/>
      </w:pPr>
      <w:r>
        <w:rPr>
          <w:rFonts w:ascii="Arial" w:hAnsi="Arial" w:cs="Arial"/>
          <w:b/>
        </w:rPr>
        <w:t>Information Quality Assurance</w:t>
      </w:r>
    </w:p>
    <w:p w14:paraId="63969119" w14:textId="77777777" w:rsidR="00360DB0" w:rsidRDefault="009E67CF">
      <w:pPr>
        <w:numPr>
          <w:ilvl w:val="0"/>
          <w:numId w:val="6"/>
        </w:numPr>
        <w:spacing w:after="120"/>
        <w:ind w:left="0" w:right="-694" w:firstLine="0"/>
        <w:jc w:val="both"/>
      </w:pPr>
      <w:r>
        <w:rPr>
          <w:rFonts w:ascii="Arial" w:hAnsi="Arial" w:cs="Arial"/>
        </w:rPr>
        <w:t>The Practice will establish and maintain policies and procedures for information quality assurance and the effective management of records</w:t>
      </w:r>
    </w:p>
    <w:p w14:paraId="224954AF" w14:textId="77777777" w:rsidR="00360DB0" w:rsidRDefault="009E67CF">
      <w:pPr>
        <w:numPr>
          <w:ilvl w:val="0"/>
          <w:numId w:val="6"/>
        </w:numPr>
        <w:spacing w:after="120"/>
        <w:ind w:left="0" w:right="-694" w:firstLine="0"/>
        <w:jc w:val="both"/>
      </w:pPr>
      <w:r>
        <w:rPr>
          <w:rFonts w:ascii="Arial" w:hAnsi="Arial" w:cs="Arial"/>
        </w:rPr>
        <w:t>The Practice will undertake or commission annual assessments and audits of its information quality and records management arrangements</w:t>
      </w:r>
    </w:p>
    <w:p w14:paraId="724286ED" w14:textId="77777777" w:rsidR="00360DB0" w:rsidRDefault="009E67CF">
      <w:pPr>
        <w:numPr>
          <w:ilvl w:val="0"/>
          <w:numId w:val="6"/>
        </w:numPr>
        <w:spacing w:after="120"/>
        <w:ind w:left="0" w:right="-694" w:firstLine="0"/>
        <w:jc w:val="both"/>
      </w:pPr>
      <w:r>
        <w:rPr>
          <w:rFonts w:ascii="Arial" w:hAnsi="Arial" w:cs="Arial"/>
        </w:rPr>
        <w:t>Managers are expected to take ownership of, and seek to improve, the quality of information within their services</w:t>
      </w:r>
    </w:p>
    <w:p w14:paraId="7D3F2BA1" w14:textId="77777777" w:rsidR="00360DB0" w:rsidRDefault="009E67CF">
      <w:pPr>
        <w:numPr>
          <w:ilvl w:val="0"/>
          <w:numId w:val="6"/>
        </w:numPr>
        <w:spacing w:after="120"/>
        <w:ind w:left="0" w:right="-694" w:firstLine="0"/>
        <w:jc w:val="both"/>
      </w:pPr>
      <w:r>
        <w:rPr>
          <w:rFonts w:ascii="Arial" w:hAnsi="Arial" w:cs="Arial"/>
        </w:rPr>
        <w:t>Wherever possible, information quality should be assured at the point of collection</w:t>
      </w:r>
    </w:p>
    <w:p w14:paraId="7B79B14D" w14:textId="77777777" w:rsidR="00360DB0" w:rsidRDefault="009E67CF">
      <w:pPr>
        <w:numPr>
          <w:ilvl w:val="0"/>
          <w:numId w:val="6"/>
        </w:numPr>
        <w:spacing w:after="120"/>
        <w:ind w:left="0" w:right="-694" w:firstLine="0"/>
        <w:jc w:val="both"/>
      </w:pPr>
      <w:r>
        <w:rPr>
          <w:rFonts w:ascii="Arial" w:hAnsi="Arial" w:cs="Arial"/>
        </w:rPr>
        <w:t>Data standards will be set through clear and consistent definition of data items, in accordance with national standards.</w:t>
      </w:r>
    </w:p>
    <w:p w14:paraId="0693D3E2" w14:textId="77777777" w:rsidR="00360DB0" w:rsidRDefault="009E67CF">
      <w:pPr>
        <w:numPr>
          <w:ilvl w:val="0"/>
          <w:numId w:val="6"/>
        </w:numPr>
        <w:spacing w:after="120"/>
        <w:ind w:left="0" w:right="-694" w:firstLine="0"/>
        <w:jc w:val="both"/>
      </w:pPr>
      <w:r>
        <w:rPr>
          <w:rFonts w:ascii="Arial" w:hAnsi="Arial" w:cs="Arial"/>
        </w:rPr>
        <w:t xml:space="preserve">The Practice will promote information quality and effective records management through policies, procedures/user manuals and training  </w:t>
      </w:r>
    </w:p>
    <w:p w14:paraId="703430C8" w14:textId="77777777" w:rsidR="00360DB0" w:rsidRDefault="00360DB0">
      <w:pPr>
        <w:spacing w:after="120"/>
        <w:ind w:right="-694"/>
        <w:jc w:val="both"/>
      </w:pPr>
    </w:p>
    <w:p w14:paraId="1D4064E4" w14:textId="77777777" w:rsidR="00360DB0" w:rsidRDefault="009E67CF">
      <w:pPr>
        <w:numPr>
          <w:ilvl w:val="0"/>
          <w:numId w:val="4"/>
        </w:numPr>
        <w:spacing w:after="120"/>
        <w:ind w:left="0" w:right="-694" w:firstLine="0"/>
        <w:jc w:val="both"/>
      </w:pPr>
      <w:r>
        <w:rPr>
          <w:rFonts w:ascii="Arial" w:hAnsi="Arial" w:cs="Arial"/>
          <w:b/>
        </w:rPr>
        <w:t>Responsibilities</w:t>
      </w:r>
    </w:p>
    <w:p w14:paraId="4A6B3899" w14:textId="77777777" w:rsidR="00360DB0" w:rsidRDefault="009E67CF">
      <w:pPr>
        <w:ind w:right="-694"/>
        <w:jc w:val="both"/>
      </w:pPr>
      <w:r>
        <w:rPr>
          <w:rFonts w:ascii="Arial" w:hAnsi="Arial" w:cs="Arial"/>
        </w:rPr>
        <w:t xml:space="preserve">It is the role of the Practice Board to define the Practice’s policy in respect of Information Governance, taking into account legal and NHS requirements.  The </w:t>
      </w:r>
      <w:r>
        <w:rPr>
          <w:rFonts w:ascii="Arial" w:hAnsi="Arial" w:cs="Arial"/>
        </w:rPr>
        <w:lastRenderedPageBreak/>
        <w:t>Board is also responsible for ensuring that sufficient resources are provided to support the requirements of the policy.</w:t>
      </w:r>
    </w:p>
    <w:p w14:paraId="0E672126" w14:textId="77777777" w:rsidR="00360DB0" w:rsidRDefault="00360DB0">
      <w:pPr>
        <w:ind w:right="-694"/>
        <w:jc w:val="both"/>
      </w:pPr>
    </w:p>
    <w:p w14:paraId="256F60EF" w14:textId="77777777" w:rsidR="00360DB0" w:rsidRDefault="009E67CF">
      <w:pPr>
        <w:ind w:right="-694"/>
        <w:jc w:val="both"/>
      </w:pPr>
      <w:r>
        <w:rPr>
          <w:rFonts w:ascii="Tahoma" w:hAnsi="Tahoma" w:cs="Tahoma"/>
          <w:color w:val="000000"/>
        </w:rPr>
        <w:t>THE LORDSHIP LANE SURGERY</w:t>
      </w:r>
      <w:r>
        <w:rPr>
          <w:rFonts w:ascii="Arial" w:hAnsi="Arial" w:cs="Arial"/>
        </w:rPr>
        <w:t xml:space="preserve"> is responsible for overseeing day to day Information Governance issues; developing and maintaining policies, standards, procedures and guidance, coordinating Information Governance in the Practice and raising awareness of Information Governance.  </w:t>
      </w:r>
    </w:p>
    <w:p w14:paraId="3CE67828" w14:textId="77777777" w:rsidR="00360DB0" w:rsidRDefault="00360DB0">
      <w:pPr>
        <w:ind w:right="-694"/>
        <w:jc w:val="both"/>
      </w:pPr>
    </w:p>
    <w:p w14:paraId="709C6D5F" w14:textId="77777777" w:rsidR="00360DB0" w:rsidRDefault="009E67CF">
      <w:pPr>
        <w:ind w:right="-694"/>
        <w:jc w:val="both"/>
      </w:pPr>
      <w:r>
        <w:rPr>
          <w:rFonts w:ascii="Arial" w:hAnsi="Arial" w:cs="Arial"/>
        </w:rPr>
        <w:t>Managers within the Practice are responsible for ensuring that the policy and its supporting standards and guidelines are built into local processes and that there is on-going compliance.</w:t>
      </w:r>
    </w:p>
    <w:p w14:paraId="3C1CC35B" w14:textId="77777777" w:rsidR="00360DB0" w:rsidRDefault="00360DB0">
      <w:pPr>
        <w:spacing w:after="120"/>
        <w:ind w:right="-694"/>
        <w:jc w:val="both"/>
      </w:pPr>
    </w:p>
    <w:p w14:paraId="367F5EFD" w14:textId="77777777" w:rsidR="00360DB0" w:rsidRDefault="009E67CF">
      <w:pPr>
        <w:spacing w:after="120"/>
        <w:ind w:right="-694"/>
        <w:jc w:val="both"/>
      </w:pPr>
      <w:r>
        <w:rPr>
          <w:rFonts w:ascii="Arial" w:hAnsi="Arial" w:cs="Arial"/>
        </w:rPr>
        <w:t>All staff, whether permanent, temporary or contracted, and contractors are responsible for ensuring that they are aware of the requirements incumbent upon them and for ensuring that they comply with these on a day to day basis.</w:t>
      </w:r>
    </w:p>
    <w:p w14:paraId="4F6BDD16" w14:textId="77777777" w:rsidR="00360DB0" w:rsidRDefault="00360DB0">
      <w:pPr>
        <w:pageBreakBefore/>
        <w:spacing w:after="120"/>
        <w:ind w:right="-694"/>
        <w:jc w:val="both"/>
      </w:pPr>
    </w:p>
    <w:p w14:paraId="780D7246" w14:textId="77777777" w:rsidR="00360DB0" w:rsidRDefault="009E67CF">
      <w:pPr>
        <w:numPr>
          <w:ilvl w:val="0"/>
          <w:numId w:val="4"/>
        </w:numPr>
        <w:spacing w:after="120"/>
        <w:ind w:left="0" w:right="-694" w:firstLine="0"/>
        <w:jc w:val="both"/>
      </w:pPr>
      <w:r>
        <w:rPr>
          <w:rFonts w:ascii="Arial" w:hAnsi="Arial" w:cs="Arial"/>
          <w:b/>
        </w:rPr>
        <w:t>Policy Approval</w:t>
      </w:r>
    </w:p>
    <w:p w14:paraId="36E5ED1A" w14:textId="77777777" w:rsidR="00360DB0" w:rsidRDefault="009E67CF">
      <w:pPr>
        <w:pStyle w:val="Textbodyindent"/>
        <w:spacing w:line="240" w:lineRule="auto"/>
        <w:ind w:left="0" w:right="-692"/>
      </w:pPr>
      <w:r>
        <w:rPr>
          <w:sz w:val="24"/>
        </w:rPr>
        <w:t xml:space="preserve">The </w:t>
      </w:r>
      <w:proofErr w:type="spellStart"/>
      <w:r>
        <w:rPr>
          <w:rFonts w:ascii="Tahoma" w:hAnsi="Tahoma" w:cs="Tahoma"/>
          <w:color w:val="000000"/>
          <w:sz w:val="24"/>
          <w:shd w:val="clear" w:color="auto" w:fill="FFFF00"/>
        </w:rPr>
        <w:t>THE</w:t>
      </w:r>
      <w:proofErr w:type="spellEnd"/>
      <w:r>
        <w:rPr>
          <w:rFonts w:ascii="Tahoma" w:hAnsi="Tahoma" w:cs="Tahoma"/>
          <w:color w:val="000000"/>
          <w:sz w:val="24"/>
          <w:shd w:val="clear" w:color="auto" w:fill="FFFF00"/>
        </w:rPr>
        <w:t xml:space="preserve"> LORDSHIP LANE SURGERY</w:t>
      </w:r>
      <w:r>
        <w:rPr>
          <w:sz w:val="24"/>
        </w:rPr>
        <w:t xml:space="preserve"> acknowledges that information is a valuable asset, therefore it is wholly in its interest to ensure that the information it holds, in whatever form, is appropriately governed, protecting the interests of all of its stakeholders.</w:t>
      </w:r>
    </w:p>
    <w:p w14:paraId="2DC5DA16" w14:textId="77777777" w:rsidR="00360DB0" w:rsidRDefault="009E67CF">
      <w:pPr>
        <w:ind w:right="-694"/>
        <w:jc w:val="both"/>
      </w:pPr>
      <w:r>
        <w:rPr>
          <w:rFonts w:ascii="Arial" w:hAnsi="Arial" w:cs="Arial"/>
        </w:rPr>
        <w:t xml:space="preserve">This policy, and its supporting standards and work instruction, are fully endorsed by the Board through the production of these documents and their </w:t>
      </w:r>
      <w:proofErr w:type="spellStart"/>
      <w:r>
        <w:rPr>
          <w:rFonts w:ascii="Arial" w:hAnsi="Arial" w:cs="Arial"/>
        </w:rPr>
        <w:t>minuted</w:t>
      </w:r>
      <w:proofErr w:type="spellEnd"/>
      <w:r>
        <w:rPr>
          <w:rFonts w:ascii="Arial" w:hAnsi="Arial" w:cs="Arial"/>
        </w:rPr>
        <w:t xml:space="preserve"> approval.</w:t>
      </w:r>
    </w:p>
    <w:p w14:paraId="1A4C3717" w14:textId="77777777" w:rsidR="00360DB0" w:rsidRDefault="00360DB0">
      <w:pPr>
        <w:ind w:right="-694"/>
        <w:jc w:val="both"/>
      </w:pPr>
    </w:p>
    <w:p w14:paraId="78EA3090" w14:textId="77777777" w:rsidR="00360DB0" w:rsidRDefault="009E67CF">
      <w:pPr>
        <w:pStyle w:val="Heading2"/>
        <w:widowControl w:val="0"/>
        <w:spacing w:before="0" w:after="0"/>
      </w:pPr>
      <w:r>
        <w:rPr>
          <w:rFonts w:ascii="Times New Roman" w:hAnsi="Times New Roman" w:cs="Times New Roman"/>
          <w:i w:val="0"/>
          <w:sz w:val="24"/>
          <w:szCs w:val="24"/>
        </w:rPr>
        <w:t xml:space="preserve">5.   </w:t>
      </w:r>
      <w:r>
        <w:rPr>
          <w:i w:val="0"/>
          <w:sz w:val="24"/>
          <w:szCs w:val="24"/>
        </w:rPr>
        <w:t xml:space="preserve"> Validity of this Policy</w:t>
      </w:r>
    </w:p>
    <w:p w14:paraId="4B5601E4" w14:textId="77777777" w:rsidR="00360DB0" w:rsidRDefault="009E67CF">
      <w:pPr>
        <w:pStyle w:val="BodyText3"/>
      </w:pPr>
      <w:r>
        <w:rPr>
          <w:rFonts w:ascii="Arial" w:hAnsi="Arial" w:cs="Arial"/>
          <w:sz w:val="24"/>
          <w:szCs w:val="24"/>
        </w:rPr>
        <w:t xml:space="preserve">This policy should be reviewed annually under the authority of the Senior Partner.  Associated information security standards should be subject to an </w:t>
      </w:r>
      <w:proofErr w:type="spellStart"/>
      <w:r>
        <w:rPr>
          <w:rFonts w:ascii="Arial" w:hAnsi="Arial" w:cs="Arial"/>
          <w:sz w:val="24"/>
          <w:szCs w:val="24"/>
        </w:rPr>
        <w:t>on going</w:t>
      </w:r>
      <w:proofErr w:type="spellEnd"/>
      <w:r>
        <w:rPr>
          <w:rFonts w:ascii="Arial" w:hAnsi="Arial" w:cs="Arial"/>
          <w:sz w:val="24"/>
          <w:szCs w:val="24"/>
        </w:rPr>
        <w:t xml:space="preserve"> development and review programme.</w:t>
      </w:r>
    </w:p>
    <w:p w14:paraId="3D937227" w14:textId="77777777" w:rsidR="00360DB0" w:rsidRDefault="00360DB0"/>
    <w:p w14:paraId="5C8F1257" w14:textId="77777777" w:rsidR="00360DB0" w:rsidRDefault="009E67CF">
      <w:r>
        <w:rPr>
          <w:rFonts w:ascii="Arial" w:hAnsi="Arial" w:cs="Arial"/>
          <w:b/>
          <w:color w:val="000000"/>
        </w:rPr>
        <w:t>6. Policy approved by</w:t>
      </w:r>
    </w:p>
    <w:p w14:paraId="77BF7B14" w14:textId="77777777" w:rsidR="00360DB0" w:rsidRDefault="00360DB0">
      <w:pPr>
        <w:ind w:right="-694"/>
        <w:jc w:val="both"/>
      </w:pPr>
    </w:p>
    <w:tbl>
      <w:tblPr>
        <w:tblW w:w="0" w:type="auto"/>
        <w:tblInd w:w="108" w:type="dxa"/>
        <w:tblCellMar>
          <w:left w:w="10" w:type="dxa"/>
          <w:right w:w="10" w:type="dxa"/>
        </w:tblCellMar>
        <w:tblLook w:val="04A0" w:firstRow="1" w:lastRow="0" w:firstColumn="1" w:lastColumn="0" w:noHBand="0" w:noVBand="1"/>
      </w:tblPr>
      <w:tblGrid>
        <w:gridCol w:w="2457"/>
        <w:gridCol w:w="5957"/>
      </w:tblGrid>
      <w:tr w:rsidR="00360DB0" w14:paraId="1FA273BC" w14:textId="77777777">
        <w:tc>
          <w:tcPr>
            <w:tcW w:w="2457" w:type="dxa"/>
            <w:shd w:val="clear" w:color="auto" w:fill="auto"/>
            <w:tcMar>
              <w:top w:w="0" w:type="dxa"/>
              <w:left w:w="108" w:type="dxa"/>
              <w:bottom w:w="0" w:type="dxa"/>
              <w:right w:w="108" w:type="dxa"/>
            </w:tcMar>
          </w:tcPr>
          <w:p w14:paraId="07E1A88D" w14:textId="77777777" w:rsidR="00360DB0" w:rsidRDefault="009E67CF">
            <w:pPr>
              <w:snapToGrid w:val="0"/>
              <w:spacing w:before="360" w:after="0"/>
              <w:ind w:right="-694"/>
              <w:jc w:val="both"/>
            </w:pPr>
            <w:r>
              <w:rPr>
                <w:rFonts w:ascii="Arial" w:hAnsi="Arial" w:cs="Arial"/>
                <w:b/>
                <w:bCs/>
              </w:rPr>
              <w:t>Senior Partner:</w:t>
            </w:r>
          </w:p>
        </w:tc>
        <w:tc>
          <w:tcPr>
            <w:tcW w:w="5957" w:type="dxa"/>
            <w:tcBorders>
              <w:bottom w:val="single" w:sz="4" w:space="0" w:color="000000"/>
            </w:tcBorders>
            <w:shd w:val="clear" w:color="auto" w:fill="auto"/>
            <w:tcMar>
              <w:top w:w="0" w:type="dxa"/>
              <w:left w:w="108" w:type="dxa"/>
              <w:bottom w:w="0" w:type="dxa"/>
              <w:right w:w="108" w:type="dxa"/>
            </w:tcMar>
          </w:tcPr>
          <w:p w14:paraId="770BED7B" w14:textId="77777777" w:rsidR="00360DB0" w:rsidRDefault="009E67CF">
            <w:pPr>
              <w:snapToGrid w:val="0"/>
              <w:spacing w:before="360" w:after="0"/>
              <w:ind w:right="-694"/>
              <w:jc w:val="both"/>
            </w:pPr>
            <w:r>
              <w:rPr>
                <w:rFonts w:ascii="Arial" w:hAnsi="Arial" w:cs="Arial"/>
                <w:b/>
                <w:bCs/>
              </w:rPr>
              <w:t>DR S DOHA</w:t>
            </w:r>
          </w:p>
        </w:tc>
      </w:tr>
      <w:tr w:rsidR="00360DB0" w14:paraId="77F8C845" w14:textId="77777777">
        <w:tc>
          <w:tcPr>
            <w:tcW w:w="2457" w:type="dxa"/>
            <w:shd w:val="clear" w:color="auto" w:fill="auto"/>
            <w:tcMar>
              <w:top w:w="0" w:type="dxa"/>
              <w:left w:w="108" w:type="dxa"/>
              <w:bottom w:w="0" w:type="dxa"/>
              <w:right w:w="108" w:type="dxa"/>
            </w:tcMar>
          </w:tcPr>
          <w:p w14:paraId="363EA413" w14:textId="77777777" w:rsidR="00360DB0" w:rsidRDefault="009E67CF">
            <w:pPr>
              <w:snapToGrid w:val="0"/>
              <w:spacing w:before="360" w:after="0"/>
              <w:ind w:right="-694"/>
              <w:jc w:val="both"/>
            </w:pPr>
            <w:r>
              <w:rPr>
                <w:rFonts w:ascii="Arial" w:hAnsi="Arial" w:cs="Arial"/>
                <w:b/>
                <w:bCs/>
              </w:rPr>
              <w:t>Date</w:t>
            </w:r>
          </w:p>
        </w:tc>
        <w:tc>
          <w:tcPr>
            <w:tcW w:w="5957" w:type="dxa"/>
            <w:tcBorders>
              <w:top w:val="single" w:sz="4" w:space="0" w:color="000000"/>
              <w:bottom w:val="single" w:sz="4" w:space="0" w:color="000000"/>
            </w:tcBorders>
            <w:shd w:val="clear" w:color="auto" w:fill="auto"/>
            <w:tcMar>
              <w:top w:w="0" w:type="dxa"/>
              <w:left w:w="108" w:type="dxa"/>
              <w:bottom w:w="0" w:type="dxa"/>
              <w:right w:w="108" w:type="dxa"/>
            </w:tcMar>
          </w:tcPr>
          <w:p w14:paraId="1C295043" w14:textId="3078E651" w:rsidR="00360DB0" w:rsidRDefault="00660B67">
            <w:pPr>
              <w:snapToGrid w:val="0"/>
              <w:spacing w:before="360" w:after="0"/>
              <w:ind w:right="-694"/>
              <w:jc w:val="both"/>
            </w:pPr>
            <w:r>
              <w:rPr>
                <w:rFonts w:ascii="Arial" w:hAnsi="Arial" w:cs="Arial"/>
                <w:b/>
                <w:bCs/>
              </w:rPr>
              <w:t>21.8.20</w:t>
            </w:r>
            <w:bookmarkStart w:id="0" w:name="_GoBack"/>
            <w:bookmarkEnd w:id="0"/>
          </w:p>
        </w:tc>
      </w:tr>
    </w:tbl>
    <w:p w14:paraId="1E27E62C" w14:textId="77777777" w:rsidR="00360DB0" w:rsidRDefault="00360DB0">
      <w:pPr>
        <w:spacing w:after="120"/>
        <w:ind w:right="-694"/>
        <w:jc w:val="both"/>
      </w:pPr>
    </w:p>
    <w:p w14:paraId="7BB5D70F" w14:textId="77777777" w:rsidR="00360DB0" w:rsidRDefault="00360DB0"/>
    <w:sectPr w:rsidR="00360DB0">
      <w:pgSz w:w="11906" w:h="16838"/>
      <w:pgMar w:top="1440" w:right="1800" w:bottom="1440" w:left="180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5BA4"/>
    <w:multiLevelType w:val="multilevel"/>
    <w:tmpl w:val="E432F73C"/>
    <w:lvl w:ilvl="0">
      <w:start w:val="1"/>
      <w:numFmt w:val="bullet"/>
      <w:lvlText w:val=""/>
      <w:lvlJc w:val="left"/>
      <w:pPr>
        <w:tabs>
          <w:tab w:val="num" w:pos="72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DE284F"/>
    <w:multiLevelType w:val="multilevel"/>
    <w:tmpl w:val="4582F9D4"/>
    <w:lvl w:ilvl="0">
      <w:start w:val="1"/>
      <w:numFmt w:val="bullet"/>
      <w:lvlText w:val=""/>
      <w:lvlJc w:val="left"/>
      <w:pPr>
        <w:tabs>
          <w:tab w:val="num" w:pos="1080"/>
        </w:tabs>
        <w:ind w:left="108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5D03933"/>
    <w:multiLevelType w:val="multilevel"/>
    <w:tmpl w:val="452C3F9E"/>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66B75A4D"/>
    <w:multiLevelType w:val="multilevel"/>
    <w:tmpl w:val="293C27CA"/>
    <w:lvl w:ilvl="0">
      <w:start w:val="1"/>
      <w:numFmt w:val="decimal"/>
      <w:lvlText w:val="%1."/>
      <w:lvlJc w:val="left"/>
      <w:pPr>
        <w:tabs>
          <w:tab w:val="num" w:pos="340"/>
        </w:tabs>
        <w:ind w:left="907" w:hanging="907"/>
      </w:pPr>
      <w:rPr>
        <w:b/>
        <w:sz w:val="24"/>
        <w:szCs w:val="24"/>
      </w:rPr>
    </w:lvl>
    <w:lvl w:ilvl="1">
      <w:start w:val="1"/>
      <w:numFmt w:val="decimal"/>
      <w:lvlText w:val="%1.%2."/>
      <w:lvlJc w:val="left"/>
      <w:pPr>
        <w:tabs>
          <w:tab w:val="num" w:pos="792"/>
        </w:tabs>
        <w:ind w:left="792" w:hanging="792"/>
      </w:pPr>
      <w:rPr>
        <w:b/>
      </w:rPr>
    </w:lvl>
    <w:lvl w:ilvl="2">
      <w:start w:val="1"/>
      <w:numFmt w:val="decimal"/>
      <w:lvlText w:val="%1.%2.%3."/>
      <w:lvlJc w:val="left"/>
      <w:pPr>
        <w:tabs>
          <w:tab w:val="num" w:pos="1440"/>
        </w:tabs>
        <w:ind w:left="1418" w:hanging="698"/>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6DDC65AF"/>
    <w:multiLevelType w:val="multilevel"/>
    <w:tmpl w:val="59045EC6"/>
    <w:lvl w:ilvl="0">
      <w:start w:val="1"/>
      <w:numFmt w:val="bullet"/>
      <w:lvlText w:val=""/>
      <w:lvlJc w:val="left"/>
      <w:pPr>
        <w:tabs>
          <w:tab w:val="num" w:pos="780"/>
        </w:tabs>
        <w:ind w:left="780" w:hanging="360"/>
      </w:pPr>
      <w:rPr>
        <w:rFonts w:ascii="Symbol" w:hAnsi="Symbol" w:cs="Symbol" w:hint="default"/>
        <w:b/>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6184D22"/>
    <w:multiLevelType w:val="multilevel"/>
    <w:tmpl w:val="CADCE424"/>
    <w:lvl w:ilvl="0">
      <w:start w:val="1"/>
      <w:numFmt w:val="bullet"/>
      <w:lvlText w:val=""/>
      <w:lvlJc w:val="left"/>
      <w:pPr>
        <w:tabs>
          <w:tab w:val="num" w:pos="72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DB0"/>
    <w:rsid w:val="00360DB0"/>
    <w:rsid w:val="00660B67"/>
    <w:rsid w:val="009E6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52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Times New Roman" w:eastAsia="Times New Roman" w:hAnsi="Times New Roman" w:cs="Times New Roman"/>
      <w:sz w:val="24"/>
      <w:szCs w:val="24"/>
    </w:rPr>
  </w:style>
  <w:style w:type="paragraph" w:styleId="Heading2">
    <w:name w:val="heading 2"/>
    <w:basedOn w:val="Normal"/>
    <w:next w:val="Normal"/>
    <w:uiPriority w:val="9"/>
    <w:unhideWhenUsed/>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pPr>
      <w:keepNext/>
      <w:numPr>
        <w:ilvl w:val="2"/>
        <w:numId w:val="1"/>
      </w:numPr>
      <w:ind w:left="360" w:hanging="360"/>
      <w:outlineLvl w:val="2"/>
    </w:pPr>
    <w:rPr>
      <w:b/>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3z0">
    <w:name w:val="WW8Num3z0"/>
    <w:rPr>
      <w:rFonts w:ascii="Symbol" w:hAnsi="Symbol" w:cs="Symbol"/>
    </w:rPr>
  </w:style>
  <w:style w:type="character" w:customStyle="1" w:styleId="WW8Num4z0">
    <w:name w:val="WW8Num4z0"/>
    <w:rPr>
      <w:b/>
      <w:sz w:val="24"/>
      <w:szCs w:val="24"/>
    </w:rPr>
  </w:style>
  <w:style w:type="character" w:customStyle="1" w:styleId="WW8Num4z1">
    <w:name w:val="WW8Num4z1"/>
    <w:rPr>
      <w:b/>
    </w:rPr>
  </w:style>
  <w:style w:type="character" w:customStyle="1" w:styleId="WW8Num5z0">
    <w:name w:val="WW8Num5z0"/>
    <w:rPr>
      <w:rFonts w:ascii="Symbol" w:hAnsi="Symbol" w:cs="Symbol"/>
    </w:rPr>
  </w:style>
  <w:style w:type="character" w:customStyle="1" w:styleId="WW8Num6z0">
    <w:name w:val="WW8Num6z0"/>
    <w:rPr>
      <w:b/>
      <w:sz w:val="24"/>
      <w:szCs w:val="24"/>
    </w:rPr>
  </w:style>
  <w:style w:type="character" w:customStyle="1" w:styleId="Absatz-Standardschriftart">
    <w:name w:val="Absatz-Standardschriftart"/>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1">
    <w:name w:val="WW8Num6z1"/>
    <w:rPr>
      <w:b/>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styleId="CommentReference">
    <w:name w:val="annotation reference"/>
    <w:basedOn w:val="DefaultParagraphFont"/>
    <w:rPr>
      <w:sz w:val="16"/>
      <w:szCs w:val="16"/>
    </w:rPr>
  </w:style>
  <w:style w:type="paragraph" w:customStyle="1" w:styleId="Heading">
    <w:name w:val="Heading"/>
    <w:basedOn w:val="Normal"/>
    <w:next w:val="Textbody"/>
    <w:pPr>
      <w:keepNext/>
      <w:spacing w:before="240" w:after="120"/>
    </w:pPr>
    <w:rPr>
      <w:rFonts w:ascii="Arial" w:eastAsia="Lucida Sans Unicode" w:hAnsi="Arial" w:cs="Tahoma"/>
      <w:sz w:val="28"/>
      <w:szCs w:val="28"/>
    </w:rPr>
  </w:style>
  <w:style w:type="paragraph" w:customStyle="1" w:styleId="Textbody">
    <w:name w:val="Text body"/>
    <w:basedOn w:val="Normal"/>
    <w:pPr>
      <w:spacing w:after="120"/>
    </w:pPr>
  </w:style>
  <w:style w:type="paragraph" w:styleId="List">
    <w:name w:val="List"/>
    <w:basedOn w:val="Textbody"/>
    <w:rPr>
      <w:rFonts w:cs="Tahoma"/>
    </w:rPr>
  </w:style>
  <w:style w:type="paragraph" w:styleId="Caption">
    <w:name w:val="caption"/>
    <w:basedOn w:val="Normal"/>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Textbodyindent">
    <w:name w:val="Text body indent"/>
    <w:basedOn w:val="Normal"/>
    <w:pPr>
      <w:spacing w:after="240" w:line="360" w:lineRule="auto"/>
      <w:ind w:left="720"/>
      <w:jc w:val="both"/>
    </w:pPr>
    <w:rPr>
      <w:rFonts w:ascii="Arial" w:hAnsi="Arial" w:cs="Arial"/>
      <w:sz w:val="20"/>
    </w:rPr>
  </w:style>
  <w:style w:type="paragraph" w:customStyle="1" w:styleId="DefaultParagraphFontParaCharCharCharCharCharCharCharCharCharCharCharCharCharChar">
    <w:name w:val="Default Paragraph Font Para Char Char Char Char Char Char Char Char Char Char Char Char Char Char"/>
    <w:basedOn w:val="Normal"/>
    <w:pPr>
      <w:spacing w:line="240" w:lineRule="exact"/>
    </w:pPr>
    <w:rPr>
      <w:rFonts w:ascii="Verdana" w:hAnsi="Verdana" w:cs="Verdana"/>
      <w:sz w:val="20"/>
      <w:szCs w:val="20"/>
      <w:lang w:val="en-US"/>
    </w:rPr>
  </w:style>
  <w:style w:type="paragraph" w:styleId="Header">
    <w:name w:val="header"/>
    <w:basedOn w:val="Normal"/>
    <w:pPr>
      <w:tabs>
        <w:tab w:val="center" w:pos="4153"/>
        <w:tab w:val="right" w:pos="8306"/>
      </w:tabs>
    </w:pPr>
    <w:rPr>
      <w:sz w:val="20"/>
      <w:szCs w:val="20"/>
    </w:rPr>
  </w:style>
  <w:style w:type="paragraph" w:customStyle="1" w:styleId="p1">
    <w:name w:val="p1"/>
    <w:basedOn w:val="Normal"/>
    <w:pPr>
      <w:widowControl w:val="0"/>
      <w:tabs>
        <w:tab w:val="left" w:pos="720"/>
      </w:tabs>
      <w:snapToGrid w:val="0"/>
      <w:spacing w:line="240" w:lineRule="atLeast"/>
    </w:pPr>
    <w:rPr>
      <w:szCs w:val="20"/>
    </w:rPr>
  </w:style>
  <w:style w:type="paragraph" w:styleId="CommentText">
    <w:name w:val="annotation text"/>
    <w:basedOn w:val="Normal"/>
    <w:rPr>
      <w:sz w:val="20"/>
      <w:szCs w:val="20"/>
    </w:rPr>
  </w:style>
  <w:style w:type="paragraph" w:styleId="BalloonText">
    <w:name w:val="Balloon Text"/>
    <w:basedOn w:val="Normal"/>
    <w:rPr>
      <w:rFonts w:ascii="Tahoma" w:hAnsi="Tahoma" w:cs="Tahoma"/>
      <w:sz w:val="16"/>
      <w:szCs w:val="16"/>
    </w:rPr>
  </w:style>
  <w:style w:type="paragraph" w:styleId="BodyText3">
    <w:name w:val="Body Text 3"/>
    <w:basedOn w:val="Normal"/>
    <w:pPr>
      <w:spacing w:after="120"/>
    </w:pPr>
    <w:rPr>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odyTextIndent2">
    <w:name w:val="Body Text Indent 2"/>
    <w:basedOn w:val="Normal"/>
    <w:pPr>
      <w:ind w:left="748" w:hanging="374"/>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Times New Roman" w:eastAsia="Times New Roman" w:hAnsi="Times New Roman" w:cs="Times New Roman"/>
      <w:sz w:val="24"/>
      <w:szCs w:val="24"/>
    </w:rPr>
  </w:style>
  <w:style w:type="paragraph" w:styleId="Heading2">
    <w:name w:val="heading 2"/>
    <w:basedOn w:val="Normal"/>
    <w:next w:val="Normal"/>
    <w:uiPriority w:val="9"/>
    <w:unhideWhenUsed/>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pPr>
      <w:keepNext/>
      <w:numPr>
        <w:ilvl w:val="2"/>
        <w:numId w:val="1"/>
      </w:numPr>
      <w:ind w:left="360" w:hanging="360"/>
      <w:outlineLvl w:val="2"/>
    </w:pPr>
    <w:rPr>
      <w:b/>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3z0">
    <w:name w:val="WW8Num3z0"/>
    <w:rPr>
      <w:rFonts w:ascii="Symbol" w:hAnsi="Symbol" w:cs="Symbol"/>
    </w:rPr>
  </w:style>
  <w:style w:type="character" w:customStyle="1" w:styleId="WW8Num4z0">
    <w:name w:val="WW8Num4z0"/>
    <w:rPr>
      <w:b/>
      <w:sz w:val="24"/>
      <w:szCs w:val="24"/>
    </w:rPr>
  </w:style>
  <w:style w:type="character" w:customStyle="1" w:styleId="WW8Num4z1">
    <w:name w:val="WW8Num4z1"/>
    <w:rPr>
      <w:b/>
    </w:rPr>
  </w:style>
  <w:style w:type="character" w:customStyle="1" w:styleId="WW8Num5z0">
    <w:name w:val="WW8Num5z0"/>
    <w:rPr>
      <w:rFonts w:ascii="Symbol" w:hAnsi="Symbol" w:cs="Symbol"/>
    </w:rPr>
  </w:style>
  <w:style w:type="character" w:customStyle="1" w:styleId="WW8Num6z0">
    <w:name w:val="WW8Num6z0"/>
    <w:rPr>
      <w:b/>
      <w:sz w:val="24"/>
      <w:szCs w:val="24"/>
    </w:rPr>
  </w:style>
  <w:style w:type="character" w:customStyle="1" w:styleId="Absatz-Standardschriftart">
    <w:name w:val="Absatz-Standardschriftart"/>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1">
    <w:name w:val="WW8Num6z1"/>
    <w:rPr>
      <w:b/>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styleId="CommentReference">
    <w:name w:val="annotation reference"/>
    <w:basedOn w:val="DefaultParagraphFont"/>
    <w:rPr>
      <w:sz w:val="16"/>
      <w:szCs w:val="16"/>
    </w:rPr>
  </w:style>
  <w:style w:type="paragraph" w:customStyle="1" w:styleId="Heading">
    <w:name w:val="Heading"/>
    <w:basedOn w:val="Normal"/>
    <w:next w:val="Textbody"/>
    <w:pPr>
      <w:keepNext/>
      <w:spacing w:before="240" w:after="120"/>
    </w:pPr>
    <w:rPr>
      <w:rFonts w:ascii="Arial" w:eastAsia="Lucida Sans Unicode" w:hAnsi="Arial" w:cs="Tahoma"/>
      <w:sz w:val="28"/>
      <w:szCs w:val="28"/>
    </w:rPr>
  </w:style>
  <w:style w:type="paragraph" w:customStyle="1" w:styleId="Textbody">
    <w:name w:val="Text body"/>
    <w:basedOn w:val="Normal"/>
    <w:pPr>
      <w:spacing w:after="120"/>
    </w:pPr>
  </w:style>
  <w:style w:type="paragraph" w:styleId="List">
    <w:name w:val="List"/>
    <w:basedOn w:val="Textbody"/>
    <w:rPr>
      <w:rFonts w:cs="Tahoma"/>
    </w:rPr>
  </w:style>
  <w:style w:type="paragraph" w:styleId="Caption">
    <w:name w:val="caption"/>
    <w:basedOn w:val="Normal"/>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Textbodyindent">
    <w:name w:val="Text body indent"/>
    <w:basedOn w:val="Normal"/>
    <w:pPr>
      <w:spacing w:after="240" w:line="360" w:lineRule="auto"/>
      <w:ind w:left="720"/>
      <w:jc w:val="both"/>
    </w:pPr>
    <w:rPr>
      <w:rFonts w:ascii="Arial" w:hAnsi="Arial" w:cs="Arial"/>
      <w:sz w:val="20"/>
    </w:rPr>
  </w:style>
  <w:style w:type="paragraph" w:customStyle="1" w:styleId="DefaultParagraphFontParaCharCharCharCharCharCharCharCharCharCharCharCharCharChar">
    <w:name w:val="Default Paragraph Font Para Char Char Char Char Char Char Char Char Char Char Char Char Char Char"/>
    <w:basedOn w:val="Normal"/>
    <w:pPr>
      <w:spacing w:line="240" w:lineRule="exact"/>
    </w:pPr>
    <w:rPr>
      <w:rFonts w:ascii="Verdana" w:hAnsi="Verdana" w:cs="Verdana"/>
      <w:sz w:val="20"/>
      <w:szCs w:val="20"/>
      <w:lang w:val="en-US"/>
    </w:rPr>
  </w:style>
  <w:style w:type="paragraph" w:styleId="Header">
    <w:name w:val="header"/>
    <w:basedOn w:val="Normal"/>
    <w:pPr>
      <w:tabs>
        <w:tab w:val="center" w:pos="4153"/>
        <w:tab w:val="right" w:pos="8306"/>
      </w:tabs>
    </w:pPr>
    <w:rPr>
      <w:sz w:val="20"/>
      <w:szCs w:val="20"/>
    </w:rPr>
  </w:style>
  <w:style w:type="paragraph" w:customStyle="1" w:styleId="p1">
    <w:name w:val="p1"/>
    <w:basedOn w:val="Normal"/>
    <w:pPr>
      <w:widowControl w:val="0"/>
      <w:tabs>
        <w:tab w:val="left" w:pos="720"/>
      </w:tabs>
      <w:snapToGrid w:val="0"/>
      <w:spacing w:line="240" w:lineRule="atLeast"/>
    </w:pPr>
    <w:rPr>
      <w:szCs w:val="20"/>
    </w:rPr>
  </w:style>
  <w:style w:type="paragraph" w:styleId="CommentText">
    <w:name w:val="annotation text"/>
    <w:basedOn w:val="Normal"/>
    <w:rPr>
      <w:sz w:val="20"/>
      <w:szCs w:val="20"/>
    </w:rPr>
  </w:style>
  <w:style w:type="paragraph" w:styleId="BalloonText">
    <w:name w:val="Balloon Text"/>
    <w:basedOn w:val="Normal"/>
    <w:rPr>
      <w:rFonts w:ascii="Tahoma" w:hAnsi="Tahoma" w:cs="Tahoma"/>
      <w:sz w:val="16"/>
      <w:szCs w:val="16"/>
    </w:rPr>
  </w:style>
  <w:style w:type="paragraph" w:styleId="BodyText3">
    <w:name w:val="Body Text 3"/>
    <w:basedOn w:val="Normal"/>
    <w:pPr>
      <w:spacing w:after="120"/>
    </w:pPr>
    <w:rPr>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odyTextIndent2">
    <w:name w:val="Body Text Indent 2"/>
    <w:basedOn w:val="Normal"/>
    <w:pPr>
      <w:ind w:left="748" w:hanging="374"/>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777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[DN Name of the Organisation]</vt:lpstr>
    </vt:vector>
  </TitlesOfParts>
  <Company>NEL CSU</Company>
  <LinksUpToDate>false</LinksUpToDate>
  <CharactersWithSpaces>6551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 Name of the Organisation]</dc:title>
  <dc:creator>phwa2</dc:creator>
  <cp:lastModifiedBy>Saud Doha</cp:lastModifiedBy>
  <cp:revision>2</cp:revision>
  <cp:lastPrinted>2004-05-06T10:28:00Z</cp:lastPrinted>
  <dcterms:created xsi:type="dcterms:W3CDTF">2020-12-20T19:21:00Z</dcterms:created>
  <dcterms:modified xsi:type="dcterms:W3CDTF">2020-12-20T19:21:00Z</dcterms:modified>
</cp:coreProperties>
</file>